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</w:rPr>
      </w:pPr>
    </w:p>
    <w:p>
      <w:pPr>
        <w:rPr>
          <w:rFonts w:ascii="標楷體" w:hAnsi="標楷體" w:eastAsia="標楷體"/>
        </w:rPr>
      </w:pPr>
    </w:p>
    <w:p>
      <w:pPr>
        <w:rPr>
          <w:rFonts w:ascii="標楷體" w:hAnsi="標楷體" w:eastAsia="標楷體"/>
        </w:rPr>
      </w:pPr>
    </w:p>
    <w:p>
      <w:pPr>
        <w:rPr>
          <w:rFonts w:ascii="標楷體" w:hAnsi="標楷體" w:eastAsia="標楷體"/>
        </w:rPr>
      </w:pPr>
    </w:p>
    <w:tbl>
      <w:tblPr>
        <w:tblStyle w:val="6"/>
        <w:tblW w:w="5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557"/>
        <w:gridCol w:w="557"/>
        <w:gridCol w:w="557"/>
        <w:gridCol w:w="557"/>
        <w:gridCol w:w="557"/>
        <w:gridCol w:w="557"/>
        <w:gridCol w:w="847"/>
        <w:gridCol w:w="557"/>
        <w:gridCol w:w="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3" w:hRule="atLeast"/>
        </w:trPr>
        <w:tc>
          <w:tcPr>
            <w:tcW w:w="55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初出茅</w:t>
            </w:r>
            <w:r>
              <w:rPr>
                <w:rFonts w:hint="eastAsia" w:ascii="標楷體" w:hAnsi="標楷體" w:eastAsia="標楷體"/>
                <w:b/>
              </w:rPr>
              <w:t>廬</w:t>
            </w:r>
            <w:r>
              <w:rPr>
                <w:rFonts w:hint="eastAsia" w:ascii="標楷體" w:hAnsi="標楷體" w:eastAsia="標楷體"/>
              </w:rPr>
              <w:t>：比喻初入社會，缺乏歷練。</w:t>
            </w:r>
          </w:p>
        </w:tc>
        <w:tc>
          <w:tcPr>
            <w:tcW w:w="55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  <w:w w:val="90"/>
              </w:rPr>
            </w:pPr>
            <w:r>
              <w:rPr>
                <w:rFonts w:hint="eastAsia" w:ascii="標楷體" w:hAnsi="標楷體" w:eastAsia="標楷體"/>
                <w:w w:val="90"/>
              </w:rPr>
              <w:t>輾轉反</w:t>
            </w:r>
            <w:r>
              <w:rPr>
                <w:rFonts w:hint="eastAsia" w:ascii="標楷體" w:hAnsi="標楷體" w:eastAsia="標楷體"/>
                <w:b/>
                <w:w w:val="90"/>
              </w:rPr>
              <w:t>側</w:t>
            </w:r>
            <w:r>
              <w:rPr>
                <w:rFonts w:hint="eastAsia" w:ascii="標楷體" w:hAnsi="標楷體" w:eastAsia="標楷體"/>
                <w:w w:val="90"/>
              </w:rPr>
              <w:t>：形容因心事重重而翻來覆去睡不著覺。</w:t>
            </w:r>
          </w:p>
        </w:tc>
        <w:tc>
          <w:tcPr>
            <w:tcW w:w="55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不言而</w:t>
            </w:r>
            <w:r>
              <w:rPr>
                <w:rFonts w:hint="eastAsia" w:ascii="標楷體" w:hAnsi="標楷體" w:eastAsia="標楷體"/>
                <w:b/>
              </w:rPr>
              <w:t>喻</w:t>
            </w:r>
            <w:r>
              <w:rPr>
                <w:rFonts w:hint="eastAsia" w:ascii="標楷體" w:hAnsi="標楷體" w:eastAsia="標楷體"/>
              </w:rPr>
              <w:t>：事理淺顯，不必說就可明白。</w:t>
            </w:r>
          </w:p>
        </w:tc>
        <w:tc>
          <w:tcPr>
            <w:tcW w:w="55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  <w:w w:val="80"/>
              </w:rPr>
            </w:pPr>
            <w:r>
              <w:rPr>
                <w:rFonts w:hint="eastAsia" w:ascii="標楷體" w:hAnsi="標楷體" w:eastAsia="標楷體"/>
                <w:b/>
                <w:w w:val="80"/>
              </w:rPr>
              <w:t>恰</w:t>
            </w:r>
            <w:r>
              <w:rPr>
                <w:rFonts w:hint="eastAsia" w:ascii="標楷體" w:hAnsi="標楷體" w:eastAsia="標楷體"/>
                <w:w w:val="80"/>
              </w:rPr>
              <w:t>如其分：剛好符合分寸。形容做事、說話等十分恰當。</w:t>
            </w:r>
          </w:p>
        </w:tc>
        <w:tc>
          <w:tcPr>
            <w:tcW w:w="55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  <w:w w:val="90"/>
              </w:rPr>
            </w:pPr>
            <w:r>
              <w:rPr>
                <w:rFonts w:hint="eastAsia" w:ascii="標楷體" w:hAnsi="標楷體" w:eastAsia="標楷體"/>
                <w:w w:val="90"/>
              </w:rPr>
              <w:t>餘波</w:t>
            </w:r>
            <w:r>
              <w:rPr>
                <w:rFonts w:hint="eastAsia" w:ascii="標楷體" w:hAnsi="標楷體" w:eastAsia="標楷體"/>
                <w:b/>
                <w:w w:val="90"/>
              </w:rPr>
              <w:t>蕩漾</w:t>
            </w:r>
            <w:r>
              <w:rPr>
                <w:rFonts w:hint="eastAsia" w:ascii="標楷體" w:hAnsi="標楷體" w:eastAsia="標楷體"/>
                <w:w w:val="90"/>
              </w:rPr>
              <w:t>：事件結束後所留下的影響，暫時難以平息。</w:t>
            </w:r>
          </w:p>
        </w:tc>
        <w:tc>
          <w:tcPr>
            <w:tcW w:w="55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  <w:w w:val="80"/>
              </w:rPr>
            </w:pPr>
            <w:r>
              <w:rPr>
                <w:rFonts w:hint="eastAsia" w:ascii="標楷體" w:hAnsi="標楷體" w:eastAsia="標楷體"/>
                <w:w w:val="80"/>
              </w:rPr>
              <w:t>因地制</w:t>
            </w:r>
            <w:r>
              <w:rPr>
                <w:rFonts w:hint="eastAsia" w:ascii="標楷體" w:hAnsi="標楷體" w:eastAsia="標楷體"/>
                <w:b/>
                <w:w w:val="80"/>
              </w:rPr>
              <w:t>宜</w:t>
            </w:r>
            <w:r>
              <w:rPr>
                <w:rFonts w:hint="eastAsia" w:ascii="標楷體" w:hAnsi="標楷體" w:eastAsia="標楷體"/>
                <w:w w:val="80"/>
              </w:rPr>
              <w:t>：根據不同環境的實際情況制定相應的妥善辦法。</w:t>
            </w:r>
          </w:p>
        </w:tc>
        <w:tc>
          <w:tcPr>
            <w:tcW w:w="55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  <w:b/>
              </w:rPr>
              <w:t>欲</w:t>
            </w:r>
            <w:r>
              <w:rPr>
                <w:rFonts w:hint="eastAsia" w:ascii="標楷體" w:hAnsi="標楷體" w:eastAsia="標楷體"/>
              </w:rPr>
              <w:t>罷不能：想要停止卻做不到。</w:t>
            </w:r>
          </w:p>
        </w:tc>
        <w:tc>
          <w:tcPr>
            <w:tcW w:w="84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人云</w:t>
            </w:r>
            <w:r>
              <w:rPr>
                <w:rFonts w:hint="eastAsia" w:ascii="標楷體" w:hAnsi="標楷體" w:eastAsia="標楷體"/>
                <w:b/>
              </w:rPr>
              <w:t>亦</w:t>
            </w:r>
            <w:r>
              <w:rPr>
                <w:rFonts w:hint="eastAsia" w:ascii="標楷體" w:hAnsi="標楷體" w:eastAsia="標楷體"/>
              </w:rPr>
              <w:t>云：別人說什麼，自己也隨聲附和。形容沒有獨自的見解，只會盲從跟隨。</w:t>
            </w:r>
            <w:bookmarkStart w:id="0" w:name="_GoBack"/>
            <w:bookmarkEnd w:id="0"/>
          </w:p>
        </w:tc>
        <w:tc>
          <w:tcPr>
            <w:tcW w:w="55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水光</w:t>
            </w:r>
            <w:r>
              <w:rPr>
                <w:rFonts w:hint="eastAsia" w:ascii="標楷體" w:hAnsi="標楷體" w:eastAsia="標楷體"/>
                <w:b/>
              </w:rPr>
              <w:t>瀲灩</w:t>
            </w:r>
            <w:r>
              <w:rPr>
                <w:rFonts w:hint="eastAsia" w:ascii="標楷體" w:hAnsi="標楷體" w:eastAsia="標楷體"/>
              </w:rPr>
              <w:t>：形容水面波光閃爍的樣子。</w:t>
            </w:r>
          </w:p>
        </w:tc>
        <w:tc>
          <w:tcPr>
            <w:tcW w:w="557" w:type="dxa"/>
            <w:textDirection w:val="tbRlV"/>
            <w:vAlign w:val="center"/>
          </w:tcPr>
          <w:p>
            <w:pPr>
              <w:framePr w:hSpace="181" w:wrap="around" w:vAnchor="text" w:hAnchor="text" w:y="1"/>
              <w:spacing w:line="240" w:lineRule="exact"/>
              <w:jc w:val="both"/>
              <w:rPr>
                <w:rFonts w:hint="eastAsia"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十一、湖光山色</w:t>
            </w:r>
          </w:p>
        </w:tc>
      </w:tr>
    </w:tbl>
    <w:p>
      <w:pPr>
        <w:rPr>
          <w:rFonts w:ascii="標楷體" w:hAnsi="標楷體" w:eastAsia="標楷體"/>
        </w:rPr>
      </w:pPr>
    </w:p>
    <w:p>
      <w:pPr>
        <w:widowControl/>
        <w:rPr>
          <w:rFonts w:hint="eastAsia" w:ascii="標楷體" w:hAnsi="標楷體" w:eastAsia="標楷體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textDirection w:val="tbRl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C3"/>
    <w:rsid w:val="00024231"/>
    <w:rsid w:val="00055D2D"/>
    <w:rsid w:val="0007173D"/>
    <w:rsid w:val="000B775E"/>
    <w:rsid w:val="000C235A"/>
    <w:rsid w:val="000C2539"/>
    <w:rsid w:val="000D3DF0"/>
    <w:rsid w:val="00104570"/>
    <w:rsid w:val="001104DB"/>
    <w:rsid w:val="00121BF6"/>
    <w:rsid w:val="00137CEF"/>
    <w:rsid w:val="00145E06"/>
    <w:rsid w:val="001A20B4"/>
    <w:rsid w:val="001A3599"/>
    <w:rsid w:val="001D68C7"/>
    <w:rsid w:val="001D79E5"/>
    <w:rsid w:val="001E78BF"/>
    <w:rsid w:val="00234ACF"/>
    <w:rsid w:val="00274D65"/>
    <w:rsid w:val="00287334"/>
    <w:rsid w:val="00297E64"/>
    <w:rsid w:val="002C3536"/>
    <w:rsid w:val="002C3F72"/>
    <w:rsid w:val="00306A90"/>
    <w:rsid w:val="00314F33"/>
    <w:rsid w:val="0031525B"/>
    <w:rsid w:val="00335691"/>
    <w:rsid w:val="00345E0F"/>
    <w:rsid w:val="00347EC5"/>
    <w:rsid w:val="00381AFB"/>
    <w:rsid w:val="003D7EDD"/>
    <w:rsid w:val="004D76DD"/>
    <w:rsid w:val="005132F0"/>
    <w:rsid w:val="00557B12"/>
    <w:rsid w:val="0056794A"/>
    <w:rsid w:val="00581995"/>
    <w:rsid w:val="00583814"/>
    <w:rsid w:val="00592AE6"/>
    <w:rsid w:val="005A5D81"/>
    <w:rsid w:val="005B5E32"/>
    <w:rsid w:val="005E0A53"/>
    <w:rsid w:val="005F1A28"/>
    <w:rsid w:val="00615364"/>
    <w:rsid w:val="0065068D"/>
    <w:rsid w:val="00661109"/>
    <w:rsid w:val="00674872"/>
    <w:rsid w:val="0068421F"/>
    <w:rsid w:val="006A189D"/>
    <w:rsid w:val="006C3879"/>
    <w:rsid w:val="00725C22"/>
    <w:rsid w:val="00766E72"/>
    <w:rsid w:val="00777753"/>
    <w:rsid w:val="007957EC"/>
    <w:rsid w:val="007A0842"/>
    <w:rsid w:val="007A1507"/>
    <w:rsid w:val="008212A0"/>
    <w:rsid w:val="00822C80"/>
    <w:rsid w:val="0086707D"/>
    <w:rsid w:val="008769C6"/>
    <w:rsid w:val="008A1556"/>
    <w:rsid w:val="008D7541"/>
    <w:rsid w:val="009133E2"/>
    <w:rsid w:val="00974E3F"/>
    <w:rsid w:val="00987446"/>
    <w:rsid w:val="009B4F58"/>
    <w:rsid w:val="009C3B16"/>
    <w:rsid w:val="00A553BC"/>
    <w:rsid w:val="00A626B4"/>
    <w:rsid w:val="00AA27CB"/>
    <w:rsid w:val="00AA7418"/>
    <w:rsid w:val="00B34175"/>
    <w:rsid w:val="00B4482D"/>
    <w:rsid w:val="00B83522"/>
    <w:rsid w:val="00B85904"/>
    <w:rsid w:val="00B904F3"/>
    <w:rsid w:val="00BC6AC6"/>
    <w:rsid w:val="00C72EE1"/>
    <w:rsid w:val="00C80B8E"/>
    <w:rsid w:val="00CB3890"/>
    <w:rsid w:val="00CD21B0"/>
    <w:rsid w:val="00CE7012"/>
    <w:rsid w:val="00D02E91"/>
    <w:rsid w:val="00D83848"/>
    <w:rsid w:val="00D87AA1"/>
    <w:rsid w:val="00DA42B7"/>
    <w:rsid w:val="00DB60BD"/>
    <w:rsid w:val="00DC28FD"/>
    <w:rsid w:val="00E1672C"/>
    <w:rsid w:val="00E30BEC"/>
    <w:rsid w:val="00E41A77"/>
    <w:rsid w:val="00E445F7"/>
    <w:rsid w:val="00E97B75"/>
    <w:rsid w:val="00EA04C3"/>
    <w:rsid w:val="00EA6291"/>
    <w:rsid w:val="00ED4AC9"/>
    <w:rsid w:val="00F51994"/>
    <w:rsid w:val="00F52D4C"/>
    <w:rsid w:val="00F720A6"/>
    <w:rsid w:val="00FA06ED"/>
    <w:rsid w:val="00FF31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left="480" w:leftChars="200"/>
    </w:pPr>
  </w:style>
  <w:style w:type="character" w:customStyle="1" w:styleId="8">
    <w:name w:val="頁首 字元"/>
    <w:basedOn w:val="4"/>
    <w:link w:val="2"/>
    <w:uiPriority w:val="99"/>
    <w:rPr>
      <w:sz w:val="20"/>
      <w:szCs w:val="20"/>
    </w:rPr>
  </w:style>
  <w:style w:type="character" w:customStyle="1" w:styleId="9">
    <w:name w:val="頁尾 字元"/>
    <w:basedOn w:val="4"/>
    <w:link w:val="3"/>
    <w:uiPriority w:val="99"/>
    <w:rPr>
      <w:sz w:val="20"/>
      <w:szCs w:val="20"/>
    </w:rPr>
  </w:style>
  <w:style w:type="character" w:customStyle="1" w:styleId="10">
    <w:name w:val="Subtle Emphasis"/>
    <w:basedOn w:val="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2769</Words>
  <Characters>15785</Characters>
  <Lines>131</Lines>
  <Paragraphs>37</Paragraphs>
  <TotalTime>0</TotalTime>
  <ScaleCrop>false</ScaleCrop>
  <LinksUpToDate>false</LinksUpToDate>
  <CharactersWithSpaces>18517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2021-01-31T02:34:00Z</dcterms:created>
  <dc:creator>沛玲 駱</dc:creator>
  <cp:lastModifiedBy>Linda</cp:lastModifiedBy>
  <dcterms:modified xsi:type="dcterms:W3CDTF">2021-05-17T10:31:28Z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